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2A" w:rsidRPr="00864486" w:rsidRDefault="00E93C2A" w:rsidP="005A3FE5">
      <w:pPr>
        <w:pStyle w:val="Footer"/>
        <w:spacing w:line="360" w:lineRule="auto"/>
        <w:jc w:val="center"/>
        <w:rPr>
          <w:rFonts w:ascii="Arial" w:hAnsi="Arial" w:cs="Arial"/>
          <w:color w:val="000000"/>
          <w:sz w:val="28"/>
          <w:szCs w:val="28"/>
        </w:rPr>
      </w:pPr>
      <w:smartTag w:uri="schemas-tilde-lv/tildestengine" w:element="veidnes">
        <w:smartTagPr>
          <w:attr w:name="id" w:val="-1"/>
          <w:attr w:name="baseform" w:val="Atskaite"/>
          <w:attr w:name="text" w:val="Atskaite"/>
        </w:smartTagPr>
      </w:smartTag>
    </w:p>
    <w:p w:rsidR="00EA04F1" w:rsidRPr="00864486" w:rsidRDefault="00EA04F1" w:rsidP="005A3FE5">
      <w:pPr>
        <w:pStyle w:val="Footer"/>
        <w:spacing w:line="360" w:lineRule="auto"/>
        <w:jc w:val="center"/>
        <w:rPr>
          <w:rFonts w:ascii="Arial" w:hAnsi="Arial" w:cs="Arial"/>
          <w:b/>
          <w:color w:val="000000"/>
          <w:sz w:val="28"/>
          <w:szCs w:val="28"/>
        </w:rPr>
      </w:pPr>
      <w:r w:rsidRPr="00864486">
        <w:rPr>
          <w:rFonts w:ascii="Arial" w:hAnsi="Arial" w:cs="Arial"/>
          <w:b/>
          <w:color w:val="000000"/>
          <w:sz w:val="28"/>
          <w:szCs w:val="28"/>
        </w:rPr>
        <w:t>At</w:t>
      </w:r>
      <w:r w:rsidR="00F52F31" w:rsidRPr="00864486">
        <w:rPr>
          <w:rFonts w:ascii="Arial" w:hAnsi="Arial" w:cs="Arial"/>
          <w:b/>
          <w:color w:val="000000"/>
          <w:sz w:val="28"/>
          <w:szCs w:val="28"/>
        </w:rPr>
        <w:t>skaite par dalību COPA – COGECA</w:t>
      </w:r>
    </w:p>
    <w:p w:rsidR="00864486" w:rsidRPr="00864486" w:rsidRDefault="00864486" w:rsidP="00864486">
      <w:pPr>
        <w:pStyle w:val="Footer"/>
        <w:spacing w:line="360" w:lineRule="auto"/>
        <w:jc w:val="center"/>
        <w:rPr>
          <w:rFonts w:ascii="Arial" w:hAnsi="Arial" w:cs="Arial"/>
          <w:b/>
          <w:color w:val="000000"/>
          <w:sz w:val="28"/>
          <w:szCs w:val="28"/>
        </w:rPr>
      </w:pPr>
      <w:r w:rsidRPr="00864486">
        <w:rPr>
          <w:rFonts w:ascii="Arial" w:hAnsi="Arial" w:cs="Arial"/>
          <w:b/>
          <w:color w:val="000000"/>
          <w:sz w:val="28"/>
          <w:szCs w:val="28"/>
        </w:rPr>
        <w:t xml:space="preserve">Lauku attīstības un </w:t>
      </w:r>
      <w:r>
        <w:rPr>
          <w:rFonts w:ascii="Arial" w:hAnsi="Arial" w:cs="Arial"/>
          <w:b/>
          <w:color w:val="000000"/>
          <w:sz w:val="28"/>
          <w:szCs w:val="28"/>
        </w:rPr>
        <w:t>KLP</w:t>
      </w:r>
      <w:r w:rsidRPr="00864486">
        <w:rPr>
          <w:rFonts w:ascii="Arial" w:hAnsi="Arial" w:cs="Arial"/>
          <w:b/>
          <w:color w:val="000000"/>
          <w:sz w:val="28"/>
          <w:szCs w:val="28"/>
        </w:rPr>
        <w:t xml:space="preserve"> apvienot</w:t>
      </w:r>
      <w:r w:rsidRPr="00864486">
        <w:rPr>
          <w:rFonts w:ascii="Arial" w:hAnsi="Arial" w:cs="Arial"/>
          <w:b/>
          <w:color w:val="000000"/>
          <w:sz w:val="28"/>
          <w:szCs w:val="28"/>
        </w:rPr>
        <w:t>ajā darba grupā</w:t>
      </w:r>
    </w:p>
    <w:p w:rsidR="00EA04F1" w:rsidRPr="00864486" w:rsidRDefault="00864486" w:rsidP="005A3FE5">
      <w:pPr>
        <w:pStyle w:val="Footer"/>
        <w:spacing w:line="360" w:lineRule="auto"/>
        <w:jc w:val="center"/>
        <w:rPr>
          <w:rFonts w:ascii="Arial" w:hAnsi="Arial" w:cs="Arial"/>
          <w:color w:val="000000"/>
        </w:rPr>
      </w:pPr>
      <w:r w:rsidRPr="00864486">
        <w:rPr>
          <w:rFonts w:ascii="Arial" w:hAnsi="Arial" w:cs="Arial"/>
          <w:color w:val="000000"/>
        </w:rPr>
        <w:t>6</w:t>
      </w:r>
      <w:r w:rsidR="00EA04F1" w:rsidRPr="00864486">
        <w:rPr>
          <w:rFonts w:ascii="Arial" w:hAnsi="Arial" w:cs="Arial"/>
          <w:color w:val="000000"/>
        </w:rPr>
        <w:t>.</w:t>
      </w:r>
      <w:r w:rsidR="00D505D0" w:rsidRPr="00864486">
        <w:rPr>
          <w:rFonts w:ascii="Arial" w:hAnsi="Arial" w:cs="Arial"/>
          <w:color w:val="000000"/>
        </w:rPr>
        <w:t xml:space="preserve"> </w:t>
      </w:r>
      <w:r w:rsidRPr="00864486">
        <w:rPr>
          <w:rFonts w:ascii="Arial" w:hAnsi="Arial" w:cs="Arial"/>
          <w:color w:val="000000"/>
        </w:rPr>
        <w:t>februārī 2020</w:t>
      </w:r>
      <w:r w:rsidR="00EA04F1" w:rsidRPr="00864486">
        <w:rPr>
          <w:rFonts w:ascii="Arial" w:hAnsi="Arial" w:cs="Arial"/>
          <w:color w:val="000000"/>
        </w:rPr>
        <w:t>. Briselē</w:t>
      </w:r>
    </w:p>
    <w:p w:rsidR="005A3FE5" w:rsidRPr="005C67C7" w:rsidRDefault="005A3FE5" w:rsidP="005C67C7">
      <w:pPr>
        <w:rPr>
          <w:rFonts w:ascii="Arial" w:hAnsi="Arial" w:cs="Arial"/>
          <w:color w:val="000000"/>
          <w:sz w:val="16"/>
          <w:szCs w:val="16"/>
        </w:rPr>
      </w:pPr>
    </w:p>
    <w:p w:rsidR="00864486" w:rsidRDefault="00F52F31" w:rsidP="00864486">
      <w:pPr>
        <w:spacing w:after="60" w:line="276" w:lineRule="auto"/>
        <w:jc w:val="both"/>
        <w:rPr>
          <w:rFonts w:ascii="Arial" w:hAnsi="Arial" w:cs="Arial"/>
          <w:sz w:val="22"/>
          <w:szCs w:val="22"/>
        </w:rPr>
      </w:pPr>
      <w:r w:rsidRPr="00864486">
        <w:rPr>
          <w:rFonts w:ascii="Arial" w:eastAsia="Calibri" w:hAnsi="Arial" w:cs="Arial"/>
          <w:sz w:val="22"/>
          <w:szCs w:val="22"/>
          <w:lang w:eastAsia="en-US"/>
        </w:rPr>
        <w:t xml:space="preserve">Sanāksmē piedalījās </w:t>
      </w:r>
      <w:r w:rsidR="00864486" w:rsidRPr="00864486">
        <w:rPr>
          <w:rFonts w:ascii="Arial" w:eastAsia="Calibri" w:hAnsi="Arial" w:cs="Arial"/>
          <w:sz w:val="22"/>
          <w:szCs w:val="22"/>
          <w:lang w:eastAsia="en-US"/>
        </w:rPr>
        <w:t xml:space="preserve">LZF eksperte </w:t>
      </w:r>
      <w:r w:rsidR="00864486" w:rsidRPr="00864486">
        <w:rPr>
          <w:rFonts w:ascii="Arial" w:hAnsi="Arial" w:cs="Arial"/>
          <w:sz w:val="22"/>
          <w:szCs w:val="22"/>
        </w:rPr>
        <w:t xml:space="preserve">Agnese Hauka </w:t>
      </w:r>
      <w:r w:rsidR="00864486" w:rsidRPr="00864486">
        <w:rPr>
          <w:rFonts w:ascii="Arial" w:hAnsi="Arial" w:cs="Arial"/>
          <w:sz w:val="22"/>
          <w:szCs w:val="22"/>
        </w:rPr>
        <w:t xml:space="preserve">un ZSA </w:t>
      </w:r>
      <w:r w:rsidRPr="00864486">
        <w:rPr>
          <w:rFonts w:ascii="Arial" w:eastAsia="Calibri" w:hAnsi="Arial" w:cs="Arial"/>
          <w:sz w:val="22"/>
          <w:szCs w:val="22"/>
          <w:lang w:eastAsia="en-US"/>
        </w:rPr>
        <w:t xml:space="preserve">eksperts </w:t>
      </w:r>
      <w:r w:rsidR="00864486" w:rsidRPr="00864486">
        <w:rPr>
          <w:rFonts w:ascii="Arial" w:hAnsi="Arial" w:cs="Arial"/>
          <w:sz w:val="22"/>
          <w:szCs w:val="22"/>
        </w:rPr>
        <w:t>Valters Zelčs</w:t>
      </w:r>
      <w:r w:rsidR="00864486" w:rsidRPr="00864486">
        <w:rPr>
          <w:rFonts w:ascii="Arial" w:hAnsi="Arial" w:cs="Arial"/>
          <w:sz w:val="22"/>
          <w:szCs w:val="22"/>
        </w:rPr>
        <w:t>.</w:t>
      </w:r>
    </w:p>
    <w:p w:rsidR="00864486" w:rsidRPr="005C67C7" w:rsidRDefault="00864486" w:rsidP="005C67C7">
      <w:pPr>
        <w:jc w:val="both"/>
        <w:rPr>
          <w:rFonts w:ascii="Arial" w:hAnsi="Arial" w:cs="Arial"/>
          <w:sz w:val="16"/>
          <w:szCs w:val="16"/>
        </w:rPr>
      </w:pPr>
    </w:p>
    <w:p w:rsidR="00A43AE7" w:rsidRPr="00864486" w:rsidRDefault="00A43AE7" w:rsidP="00864486">
      <w:pPr>
        <w:numPr>
          <w:ilvl w:val="0"/>
          <w:numId w:val="21"/>
        </w:numPr>
        <w:spacing w:after="60" w:line="276" w:lineRule="auto"/>
        <w:rPr>
          <w:rFonts w:ascii="Arial" w:hAnsi="Arial" w:cs="Arial"/>
          <w:b/>
          <w:sz w:val="22"/>
          <w:szCs w:val="22"/>
        </w:rPr>
      </w:pPr>
      <w:r w:rsidRPr="00864486">
        <w:rPr>
          <w:rFonts w:ascii="Arial" w:hAnsi="Arial" w:cs="Arial"/>
          <w:b/>
          <w:sz w:val="22"/>
          <w:szCs w:val="22"/>
        </w:rPr>
        <w:t>Diskusijas un kopsavilkums par ENRD darba grupu “Cultivating network connections”</w:t>
      </w:r>
    </w:p>
    <w:p w:rsidR="00A43AE7" w:rsidRDefault="00A43AE7" w:rsidP="00864486">
      <w:pPr>
        <w:spacing w:after="60" w:line="276" w:lineRule="auto"/>
        <w:jc w:val="both"/>
        <w:rPr>
          <w:rFonts w:ascii="Arial" w:hAnsi="Arial" w:cs="Arial"/>
          <w:sz w:val="22"/>
          <w:szCs w:val="22"/>
        </w:rPr>
      </w:pPr>
      <w:r w:rsidRPr="00864486">
        <w:rPr>
          <w:rFonts w:ascii="Arial" w:hAnsi="Arial" w:cs="Arial"/>
          <w:sz w:val="22"/>
          <w:szCs w:val="22"/>
        </w:rPr>
        <w:t>Lielu daļu sanāksmes laika notika di</w:t>
      </w:r>
      <w:r w:rsidR="00864486">
        <w:rPr>
          <w:rFonts w:ascii="Arial" w:hAnsi="Arial" w:cs="Arial"/>
          <w:sz w:val="22"/>
          <w:szCs w:val="22"/>
        </w:rPr>
        <w:t>skusijas par 5.februarī notikušo</w:t>
      </w:r>
      <w:r w:rsidRPr="00864486">
        <w:rPr>
          <w:rFonts w:ascii="Arial" w:hAnsi="Arial" w:cs="Arial"/>
          <w:sz w:val="22"/>
          <w:szCs w:val="22"/>
        </w:rPr>
        <w:t xml:space="preserve"> </w:t>
      </w:r>
      <w:r w:rsidR="00864486">
        <w:rPr>
          <w:rFonts w:ascii="Arial" w:hAnsi="Arial" w:cs="Arial"/>
          <w:sz w:val="22"/>
          <w:szCs w:val="22"/>
        </w:rPr>
        <w:t>COPA-COGECA</w:t>
      </w:r>
      <w:r w:rsidRPr="00864486">
        <w:rPr>
          <w:rFonts w:ascii="Arial" w:hAnsi="Arial" w:cs="Arial"/>
          <w:sz w:val="22"/>
          <w:szCs w:val="22"/>
        </w:rPr>
        <w:t>-ENRD darba grupu “</w:t>
      </w:r>
      <w:r w:rsidRPr="00864486">
        <w:rPr>
          <w:rFonts w:ascii="Arial" w:hAnsi="Arial" w:cs="Arial"/>
          <w:i/>
          <w:sz w:val="22"/>
          <w:szCs w:val="22"/>
        </w:rPr>
        <w:t>Cultivating network connections</w:t>
      </w:r>
      <w:r w:rsidRPr="00864486">
        <w:rPr>
          <w:rFonts w:ascii="Arial" w:hAnsi="Arial" w:cs="Arial"/>
          <w:sz w:val="22"/>
          <w:szCs w:val="22"/>
        </w:rPr>
        <w:t>”. Galvenās diskusijas lauksaimnieku starpā bija par atšķirīgām Valsts Lauku tīklu pieejām katrā dalībvalstī. Kopīga diskusija ar ENRD par Lauku tīkla aktivitātēm tika novērtēta atzinīgi un izteikts priekšlikums organizēt līdzvērtīgu darba grupu.</w:t>
      </w:r>
    </w:p>
    <w:p w:rsidR="00864486" w:rsidRPr="005C67C7" w:rsidRDefault="00864486" w:rsidP="005C67C7">
      <w:pPr>
        <w:jc w:val="both"/>
        <w:rPr>
          <w:rFonts w:ascii="Arial" w:hAnsi="Arial" w:cs="Arial"/>
          <w:sz w:val="16"/>
          <w:szCs w:val="16"/>
        </w:rPr>
      </w:pPr>
    </w:p>
    <w:p w:rsidR="00A43AE7" w:rsidRPr="00864486" w:rsidRDefault="00A43AE7" w:rsidP="00864486">
      <w:pPr>
        <w:numPr>
          <w:ilvl w:val="0"/>
          <w:numId w:val="21"/>
        </w:numPr>
        <w:spacing w:after="60" w:line="276" w:lineRule="auto"/>
        <w:rPr>
          <w:rFonts w:ascii="Arial" w:hAnsi="Arial" w:cs="Arial"/>
          <w:b/>
          <w:sz w:val="22"/>
          <w:szCs w:val="22"/>
        </w:rPr>
      </w:pPr>
      <w:r w:rsidRPr="00864486">
        <w:rPr>
          <w:rFonts w:ascii="Arial" w:hAnsi="Arial" w:cs="Arial"/>
          <w:b/>
          <w:sz w:val="22"/>
          <w:szCs w:val="22"/>
        </w:rPr>
        <w:t>KLP nākotne</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 xml:space="preserve">Diskusijās ar lauksaimniekiem ir jaušama skaidra vēlme vienoties un apstiprināt jauno KLP, par kuru tiek diskutēts kopš 2017. gada. Neziņa, kā </w:t>
      </w:r>
      <w:r w:rsidRPr="00864486">
        <w:rPr>
          <w:rFonts w:ascii="Arial" w:hAnsi="Arial" w:cs="Arial"/>
          <w:i/>
          <w:sz w:val="22"/>
          <w:szCs w:val="22"/>
        </w:rPr>
        <w:t>Green Deal</w:t>
      </w:r>
      <w:r w:rsidRPr="00864486">
        <w:rPr>
          <w:rFonts w:ascii="Arial" w:hAnsi="Arial" w:cs="Arial"/>
          <w:sz w:val="22"/>
          <w:szCs w:val="22"/>
        </w:rPr>
        <w:t xml:space="preserve"> un </w:t>
      </w:r>
      <w:r w:rsidRPr="00864486">
        <w:rPr>
          <w:rFonts w:ascii="Arial" w:hAnsi="Arial" w:cs="Arial"/>
          <w:i/>
          <w:sz w:val="22"/>
          <w:szCs w:val="22"/>
        </w:rPr>
        <w:t>Farm2Folk</w:t>
      </w:r>
      <w:r w:rsidRPr="00864486">
        <w:rPr>
          <w:rFonts w:ascii="Arial" w:hAnsi="Arial" w:cs="Arial"/>
          <w:sz w:val="22"/>
          <w:szCs w:val="22"/>
        </w:rPr>
        <w:t xml:space="preserve"> ietekmēs KLP un kā šīs iniciatīvas ietekmēs nacionālos Stratēģiskos plānus, ir nogurdinoša. Lauksaimniecības un lauku attīstības politikas neskaidrība ir neefektīva un, pēc esošajiem Eiropas Komisijas sanāksmju un apspriežu plāniem šobrī</w:t>
      </w:r>
      <w:r w:rsidR="00864486">
        <w:rPr>
          <w:rFonts w:ascii="Arial" w:hAnsi="Arial" w:cs="Arial"/>
          <w:sz w:val="22"/>
          <w:szCs w:val="22"/>
        </w:rPr>
        <w:t>d izskatās, ka ne vien KLP 2021</w:t>
      </w:r>
      <w:r w:rsidR="00864486">
        <w:rPr>
          <w:rFonts w:ascii="Arial" w:hAnsi="Arial" w:cs="Arial"/>
          <w:sz w:val="22"/>
          <w:szCs w:val="22"/>
        </w:rPr>
        <w:noBreakHyphen/>
      </w:r>
      <w:r w:rsidRPr="00864486">
        <w:rPr>
          <w:rFonts w:ascii="Arial" w:hAnsi="Arial" w:cs="Arial"/>
          <w:sz w:val="22"/>
          <w:szCs w:val="22"/>
        </w:rPr>
        <w:t xml:space="preserve">2027, bet arī pārejas perioda regulējuma apstiprināšana aizvien ievelkas. </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 xml:space="preserve">Horvātijas pārstāve: KLP novērotāji </w:t>
      </w:r>
      <w:r w:rsidR="005A4C0E">
        <w:rPr>
          <w:rFonts w:ascii="Arial" w:hAnsi="Arial" w:cs="Arial"/>
          <w:sz w:val="22"/>
          <w:szCs w:val="22"/>
        </w:rPr>
        <w:t>DG</w:t>
      </w:r>
      <w:r w:rsidRPr="00864486">
        <w:rPr>
          <w:rFonts w:ascii="Arial" w:hAnsi="Arial" w:cs="Arial"/>
          <w:sz w:val="22"/>
          <w:szCs w:val="22"/>
        </w:rPr>
        <w:t xml:space="preserve"> AGRI un </w:t>
      </w:r>
      <w:r w:rsidR="005A4C0E">
        <w:rPr>
          <w:rFonts w:ascii="Arial" w:hAnsi="Arial" w:cs="Arial"/>
          <w:sz w:val="22"/>
          <w:szCs w:val="22"/>
        </w:rPr>
        <w:t>DG</w:t>
      </w:r>
      <w:r w:rsidRPr="00864486">
        <w:rPr>
          <w:rFonts w:ascii="Arial" w:hAnsi="Arial" w:cs="Arial"/>
          <w:sz w:val="22"/>
          <w:szCs w:val="22"/>
        </w:rPr>
        <w:t xml:space="preserve"> ENVI februāra mēnesī netiksies un viņu pirmā tikšanās varētu notikt 2020. gada martā. Iespējams Eiropas Parlamenta mudināti, visas iesaistītās puses pacentīsies un apstiprinās visus </w:t>
      </w:r>
      <w:r w:rsidRPr="00864486">
        <w:rPr>
          <w:rFonts w:ascii="Arial" w:hAnsi="Arial" w:cs="Arial"/>
          <w:i/>
          <w:sz w:val="22"/>
          <w:szCs w:val="22"/>
        </w:rPr>
        <w:t>Article</w:t>
      </w:r>
      <w:r w:rsidRPr="00864486">
        <w:rPr>
          <w:rFonts w:ascii="Arial" w:hAnsi="Arial" w:cs="Arial"/>
          <w:sz w:val="22"/>
          <w:szCs w:val="22"/>
        </w:rPr>
        <w:t xml:space="preserve"> līdz 2020.gada jūnijam Horvātijas prezidentūras ietvaros. </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COPA</w:t>
      </w:r>
      <w:r w:rsidR="005A4C0E">
        <w:rPr>
          <w:rFonts w:ascii="Arial" w:hAnsi="Arial" w:cs="Arial"/>
          <w:sz w:val="22"/>
          <w:szCs w:val="22"/>
        </w:rPr>
        <w:t>-COGECA</w:t>
      </w:r>
      <w:r w:rsidRPr="00864486">
        <w:rPr>
          <w:rFonts w:ascii="Arial" w:hAnsi="Arial" w:cs="Arial"/>
          <w:sz w:val="22"/>
          <w:szCs w:val="22"/>
        </w:rPr>
        <w:t xml:space="preserve"> sekretariāts: KLP pēc 2020 tiek diskutēts jau divus gadus, bet nav panākta vienošanās. Arī šobrīd notiekošais neliecina neko labu par procesa ātru atrisināšanu. Par ļaunu nāktu jebkādas jaunas diskusijas par KLP 2021-2027, kas jau ir izdiskutētas, bet tiktu atkal atjaunotas.</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Itālijas kolēģis: Lauku teritorijās publiskie pakalpojumi ir jāskata kā sabiedrības pakalpojums, jo gandrīz visu individuālo pilsētas iedzīvotāju saknes un atbalsts ir viņu ģimenes laukos, kuri veido sabiedrības pamatu. Atbalstam ir jātiek piešķirtam jaunajiem (</w:t>
      </w:r>
      <w:r w:rsidRPr="00864486">
        <w:rPr>
          <w:rFonts w:ascii="Arial" w:hAnsi="Arial" w:cs="Arial"/>
          <w:i/>
          <w:sz w:val="22"/>
          <w:szCs w:val="22"/>
        </w:rPr>
        <w:t>young</w:t>
      </w:r>
      <w:r w:rsidRPr="00864486">
        <w:rPr>
          <w:rFonts w:ascii="Arial" w:hAnsi="Arial" w:cs="Arial"/>
          <w:sz w:val="22"/>
          <w:szCs w:val="22"/>
        </w:rPr>
        <w:t>) lauksaimniekiem nevis jauniem (</w:t>
      </w:r>
      <w:r w:rsidRPr="00864486">
        <w:rPr>
          <w:rFonts w:ascii="Arial" w:hAnsi="Arial" w:cs="Arial"/>
          <w:i/>
          <w:sz w:val="22"/>
          <w:szCs w:val="22"/>
        </w:rPr>
        <w:t>new</w:t>
      </w:r>
      <w:r w:rsidRPr="00864486">
        <w:rPr>
          <w:rFonts w:ascii="Arial" w:hAnsi="Arial" w:cs="Arial"/>
          <w:sz w:val="22"/>
          <w:szCs w:val="22"/>
        </w:rPr>
        <w:t>) lauksaimniekiem.</w:t>
      </w:r>
    </w:p>
    <w:p w:rsidR="00A43AE7" w:rsidRDefault="00A43AE7" w:rsidP="00864486">
      <w:pPr>
        <w:spacing w:after="60" w:line="276" w:lineRule="auto"/>
        <w:jc w:val="both"/>
        <w:rPr>
          <w:rFonts w:ascii="Arial" w:hAnsi="Arial" w:cs="Arial"/>
          <w:sz w:val="22"/>
          <w:szCs w:val="22"/>
        </w:rPr>
      </w:pPr>
      <w:r w:rsidRPr="00864486">
        <w:rPr>
          <w:rFonts w:ascii="Arial" w:hAnsi="Arial" w:cs="Arial"/>
          <w:sz w:val="22"/>
          <w:szCs w:val="22"/>
        </w:rPr>
        <w:t>Diskusijās par aktīvo lauksaimnieku dažādās valstīs ir dažāds progress. Viens no definējumiem par aktīvo lauksaimnieku uzskatītu tādu, kurš veic jebkādu lauksaimniecisko darbību.</w:t>
      </w:r>
    </w:p>
    <w:p w:rsidR="005A4C0E" w:rsidRPr="005C67C7" w:rsidRDefault="005A4C0E" w:rsidP="005C67C7">
      <w:pPr>
        <w:jc w:val="both"/>
        <w:rPr>
          <w:rFonts w:ascii="Arial" w:hAnsi="Arial" w:cs="Arial"/>
          <w:sz w:val="16"/>
          <w:szCs w:val="16"/>
        </w:rPr>
      </w:pPr>
    </w:p>
    <w:p w:rsidR="00A43AE7" w:rsidRPr="00864486" w:rsidRDefault="00A43AE7" w:rsidP="005A4C0E">
      <w:pPr>
        <w:numPr>
          <w:ilvl w:val="0"/>
          <w:numId w:val="21"/>
        </w:numPr>
        <w:spacing w:after="60" w:line="276" w:lineRule="auto"/>
        <w:rPr>
          <w:rFonts w:ascii="Arial" w:hAnsi="Arial" w:cs="Arial"/>
          <w:b/>
          <w:sz w:val="22"/>
          <w:szCs w:val="22"/>
        </w:rPr>
      </w:pPr>
      <w:r w:rsidRPr="00864486">
        <w:rPr>
          <w:rFonts w:ascii="Arial" w:hAnsi="Arial" w:cs="Arial"/>
          <w:b/>
          <w:sz w:val="22"/>
          <w:szCs w:val="22"/>
        </w:rPr>
        <w:t>Topical work of the WP “Climate action/ Result based payments”</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 xml:space="preserve">Precīzā lauksaimniecība var palīdzēt saudzēt ūdeni, samazināt AAL ietekmi un mazināt emisijas. Tas varētu būt I pīlāra ekoshēmas, kam jābūt ar praktiski pielietojamiem rādītājiem saskaņā ar jau esošiem rādītājiem. </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lastRenderedPageBreak/>
        <w:t xml:space="preserve">Vācieši uzsver vajadzību pēc 100% </w:t>
      </w:r>
      <w:r w:rsidR="005A4C0E">
        <w:rPr>
          <w:rFonts w:ascii="Arial" w:hAnsi="Arial" w:cs="Arial"/>
          <w:sz w:val="22"/>
          <w:szCs w:val="22"/>
        </w:rPr>
        <w:t>atbalsta</w:t>
      </w:r>
      <w:r w:rsidRPr="00864486">
        <w:rPr>
          <w:rFonts w:ascii="Arial" w:hAnsi="Arial" w:cs="Arial"/>
          <w:sz w:val="22"/>
          <w:szCs w:val="22"/>
        </w:rPr>
        <w:t xml:space="preserve"> neproduktīvo investīciju veikšanai saimniecībās, jo arī šīs investīcijas ir vajadzīgas un ekonomiski novērtējamas saimnieciskajā darbībā, piem., degvielas tvertņu novietņu sakārtošanai. Zviedrijā šādas investīcijas lielākoties ir ar 100% intensitāti.</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Horvātijā apmēram 100 diskusijās ar lauksaimniekiem netika panākta vienošanās par definējumu “aktīvais lauksaimnieks”. Ekoshēmas nebiedē, bet tā kā dzīvnieku labturības prasības sāktas ieviest vien 2019. gadā</w:t>
      </w:r>
      <w:r w:rsidR="005A4C0E">
        <w:rPr>
          <w:rFonts w:ascii="Arial" w:hAnsi="Arial" w:cs="Arial"/>
          <w:sz w:val="22"/>
          <w:szCs w:val="22"/>
        </w:rPr>
        <w:t>,</w:t>
      </w:r>
      <w:r w:rsidRPr="00864486">
        <w:rPr>
          <w:rFonts w:ascii="Arial" w:hAnsi="Arial" w:cs="Arial"/>
          <w:sz w:val="22"/>
          <w:szCs w:val="22"/>
        </w:rPr>
        <w:t xml:space="preserve"> tad lauksaimniekiem aizvien ir liela neziņa par šo prasību iekļaušanu ekoshēmās. Tāpat ekoshēmu gadījumā viņiem atbalsta maksājums būs pietiekošs, lai segtu investīcijas. Lauksaimniecības produkcijas apjomi pēdējos gados ir samazinājušies, mazāka ir saimniecību efektivitāte, lielākas “zaļināšanas” platības un vairāk “slinkie” lauksaimnieki, kuri meklē ieviest tās aktivitātes, kurās mazāk jādara, bet var saņemt lielāko atbalstu. Neviens sektors nav ilgtspējīgs. Izaicinājums ir runāt, kā lauksaimniekiem kļūt vēl vairāk videi draudzīgiem, ja viņi jau šobrīd ir tik ļoti videi draudzīgi, ka ražošana ir aizvirzījusies otrajā plānā. Būtiskas ir investīcijas tehnoloģijās, jo Horvātija visvēlāk pievienojās ES un attīstība un izaugsme ir vajadzīga lauksaimniecības nozarei, bet tagad visas lauksaimnieciskās aktivitātes tiek samazinātas vides un klimata aktivitātēm</w:t>
      </w:r>
      <w:r w:rsidR="005A4C0E" w:rsidRPr="005A4C0E">
        <w:rPr>
          <w:rFonts w:ascii="Arial" w:hAnsi="Arial" w:cs="Arial"/>
          <w:sz w:val="22"/>
          <w:szCs w:val="22"/>
        </w:rPr>
        <w:t xml:space="preserve"> </w:t>
      </w:r>
      <w:r w:rsidR="005A4C0E" w:rsidRPr="00864486">
        <w:rPr>
          <w:rFonts w:ascii="Arial" w:hAnsi="Arial" w:cs="Arial"/>
          <w:sz w:val="22"/>
          <w:szCs w:val="22"/>
        </w:rPr>
        <w:t>dēļ</w:t>
      </w:r>
      <w:r w:rsidRPr="00864486">
        <w:rPr>
          <w:rFonts w:ascii="Arial" w:hAnsi="Arial" w:cs="Arial"/>
          <w:sz w:val="22"/>
          <w:szCs w:val="22"/>
        </w:rPr>
        <w:t xml:space="preserve">. Aitu </w:t>
      </w:r>
      <w:r w:rsidR="005A4C0E">
        <w:rPr>
          <w:rFonts w:ascii="Arial" w:hAnsi="Arial" w:cs="Arial"/>
          <w:sz w:val="22"/>
          <w:szCs w:val="22"/>
        </w:rPr>
        <w:t>un kazu ganību zeme (250 tūkst.</w:t>
      </w:r>
      <w:r w:rsidRPr="00864486">
        <w:rPr>
          <w:rFonts w:ascii="Arial" w:hAnsi="Arial" w:cs="Arial"/>
          <w:sz w:val="22"/>
          <w:szCs w:val="22"/>
        </w:rPr>
        <w:t xml:space="preserve">ha ļoti akmeņaini zālāji) netika iekļauti lauksaimniecības zemes kopējā platībā iestāšanās sarunās, bet šīs platības būtu izmantojamas ekoshēmu pasākumiem. </w:t>
      </w:r>
      <w:r w:rsidR="005A4C0E">
        <w:rPr>
          <w:rFonts w:ascii="Arial" w:hAnsi="Arial" w:cs="Arial"/>
          <w:sz w:val="22"/>
          <w:szCs w:val="22"/>
        </w:rPr>
        <w:t xml:space="preserve"> </w:t>
      </w:r>
    </w:p>
    <w:p w:rsidR="00A43AE7" w:rsidRDefault="00A43AE7" w:rsidP="00864486">
      <w:pPr>
        <w:spacing w:after="60" w:line="276" w:lineRule="auto"/>
        <w:jc w:val="both"/>
        <w:rPr>
          <w:rFonts w:ascii="Arial" w:hAnsi="Arial" w:cs="Arial"/>
          <w:sz w:val="22"/>
          <w:szCs w:val="22"/>
        </w:rPr>
      </w:pPr>
      <w:r w:rsidRPr="00864486">
        <w:rPr>
          <w:rFonts w:ascii="Arial" w:hAnsi="Arial" w:cs="Arial"/>
          <w:sz w:val="22"/>
          <w:szCs w:val="22"/>
        </w:rPr>
        <w:t xml:space="preserve">Nākamā EK </w:t>
      </w:r>
      <w:r w:rsidR="005A4C0E">
        <w:rPr>
          <w:rFonts w:ascii="Arial" w:hAnsi="Arial" w:cs="Arial"/>
          <w:sz w:val="22"/>
          <w:szCs w:val="22"/>
        </w:rPr>
        <w:t>Sociālā dialoga darba grupa Lauku attīstība</w:t>
      </w:r>
      <w:r w:rsidRPr="00864486">
        <w:rPr>
          <w:rFonts w:ascii="Arial" w:hAnsi="Arial" w:cs="Arial"/>
          <w:sz w:val="22"/>
          <w:szCs w:val="22"/>
        </w:rPr>
        <w:t xml:space="preserve"> 2020. gada 19. novembrī. Darba kārtībā AKIS, KLP un Kohēzijas politikas sasaiste, </w:t>
      </w:r>
      <w:r w:rsidRPr="00864486">
        <w:rPr>
          <w:rFonts w:ascii="Arial" w:hAnsi="Arial" w:cs="Arial"/>
          <w:i/>
          <w:sz w:val="22"/>
          <w:szCs w:val="22"/>
        </w:rPr>
        <w:t>Long term strategy for rural areas</w:t>
      </w:r>
      <w:r w:rsidRPr="00864486">
        <w:rPr>
          <w:rFonts w:ascii="Arial" w:hAnsi="Arial" w:cs="Arial"/>
          <w:sz w:val="22"/>
          <w:szCs w:val="22"/>
        </w:rPr>
        <w:t xml:space="preserve"> , kas ietvers bioekonomiku, apdzīvotību u.c. jautājumus.</w:t>
      </w:r>
    </w:p>
    <w:p w:rsidR="005A4C0E" w:rsidRPr="005C67C7" w:rsidRDefault="005A4C0E" w:rsidP="005C67C7">
      <w:pPr>
        <w:jc w:val="both"/>
        <w:rPr>
          <w:rFonts w:ascii="Arial" w:hAnsi="Arial" w:cs="Arial"/>
          <w:sz w:val="16"/>
          <w:szCs w:val="16"/>
        </w:rPr>
      </w:pPr>
    </w:p>
    <w:p w:rsidR="00A43AE7" w:rsidRPr="00864486" w:rsidRDefault="00A43AE7" w:rsidP="005A4C0E">
      <w:pPr>
        <w:numPr>
          <w:ilvl w:val="0"/>
          <w:numId w:val="21"/>
        </w:numPr>
        <w:spacing w:after="60" w:line="276" w:lineRule="auto"/>
        <w:rPr>
          <w:rFonts w:ascii="Arial" w:hAnsi="Arial" w:cs="Arial"/>
          <w:b/>
          <w:sz w:val="22"/>
          <w:szCs w:val="22"/>
        </w:rPr>
      </w:pPr>
      <w:r w:rsidRPr="00864486">
        <w:rPr>
          <w:rFonts w:ascii="Arial" w:hAnsi="Arial" w:cs="Arial"/>
          <w:b/>
          <w:sz w:val="22"/>
          <w:szCs w:val="22"/>
        </w:rPr>
        <w:t>Pārejas perioda regulējums /Transition regulation/</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Elsi Katainen, lauksaimniece un Eiropas Parlamenta deputāte (Somija), informē par KLP pārejas periodu un provizorisko laika līniju, kad varētu tikt pieņemts daudzgadu finanšu ietvars. Viņa uzskata, ka lauksaimnieki būs neizdevīgā situācijā, jo ieraudzīs MFF gala dokumentu tikai dažus mēnešus pirms tā stāšanās spēkā.</w:t>
      </w:r>
    </w:p>
    <w:p w:rsidR="00A43AE7" w:rsidRDefault="00A43AE7" w:rsidP="00864486">
      <w:pPr>
        <w:spacing w:after="60" w:line="276" w:lineRule="auto"/>
        <w:jc w:val="both"/>
        <w:rPr>
          <w:rFonts w:ascii="Arial" w:hAnsi="Arial" w:cs="Arial"/>
          <w:sz w:val="22"/>
          <w:szCs w:val="22"/>
        </w:rPr>
      </w:pPr>
      <w:r w:rsidRPr="00864486">
        <w:rPr>
          <w:rFonts w:ascii="Arial" w:hAnsi="Arial" w:cs="Arial"/>
          <w:sz w:val="22"/>
          <w:szCs w:val="22"/>
        </w:rPr>
        <w:t>Lauksaimnieki vērš uzmanību, ka vēlas paredzamību un ilgtspējību. Pārejas perioda regulējumu ir būtiski apstiprināt, lai dalībvalstis varētu turpināt darbu pie nacionālās dokumentācijas izstrādes un lauksaimniekiem būtu skaidri darbības nosacījumi.  Lauksaimnieki norāda, ka finansējuma samazināšana ir satraukusi visus, jo pārtikas kvalitātes prasības, dzīvnieku labturības prasības, kā arī iesaiste klimata mērķu sasniegšanā nav mazinājušās, bet pastāvīgi palielinās.</w:t>
      </w:r>
    </w:p>
    <w:p w:rsidR="005C67C7" w:rsidRPr="005C67C7" w:rsidRDefault="005C67C7" w:rsidP="005C67C7">
      <w:pPr>
        <w:jc w:val="both"/>
        <w:rPr>
          <w:rFonts w:ascii="Arial" w:hAnsi="Arial" w:cs="Arial"/>
          <w:sz w:val="16"/>
          <w:szCs w:val="16"/>
        </w:rPr>
      </w:pPr>
    </w:p>
    <w:p w:rsidR="00A43AE7" w:rsidRPr="00864486" w:rsidRDefault="00A43AE7" w:rsidP="005C67C7">
      <w:pPr>
        <w:numPr>
          <w:ilvl w:val="0"/>
          <w:numId w:val="21"/>
        </w:numPr>
        <w:spacing w:after="60" w:line="276" w:lineRule="auto"/>
        <w:rPr>
          <w:rFonts w:ascii="Arial" w:hAnsi="Arial" w:cs="Arial"/>
          <w:b/>
          <w:sz w:val="22"/>
          <w:szCs w:val="22"/>
        </w:rPr>
      </w:pPr>
      <w:r w:rsidRPr="00864486">
        <w:rPr>
          <w:rFonts w:ascii="Arial" w:hAnsi="Arial" w:cs="Arial"/>
          <w:b/>
          <w:sz w:val="22"/>
          <w:szCs w:val="22"/>
        </w:rPr>
        <w:t>Eiropas Zaļais kurss (Green Deal)</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 xml:space="preserve">Ilgtspējīga pārtikas sistēma, lauksaimnieku lomas palielināšana </w:t>
      </w:r>
      <w:r w:rsidRPr="00864486">
        <w:rPr>
          <w:rFonts w:ascii="Arial" w:hAnsi="Arial" w:cs="Arial"/>
          <w:i/>
          <w:sz w:val="22"/>
          <w:szCs w:val="22"/>
        </w:rPr>
        <w:t>agri-food</w:t>
      </w:r>
      <w:r w:rsidRPr="00864486">
        <w:rPr>
          <w:rFonts w:ascii="Arial" w:hAnsi="Arial" w:cs="Arial"/>
          <w:sz w:val="22"/>
          <w:szCs w:val="22"/>
        </w:rPr>
        <w:t xml:space="preserve"> ķēdē, pārtikas drošības nodrošināšana. Stratēģija paredz bioloģiskās lauksaimniecības īpatsvara palielināšanu, dzīvnieku labturības likumdošanas stiprināšanu, pesticīdu samazināšanu pārtikas ražošanā. Tiek vērsta uzmanība, ka bioloģiskai lauksaimniecībai jābūt tirgus orientētai.</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t>Lauksaimnieki ir vienisprātis, ka, runājot par dažādiem pasākumiem, pastāvīgi jāpatur prātā saimniecības ienākumu un rentabilitātes palielināšana, jo tā ir ekonomiskā ilgtspēja. Starptautiskajos tirdzniecības līgumos ir jāievēro ES lauksaimniekiem konkurētspējīgus nosacījumus, kas tiešā veidā ietekmē nozares un saimniecību ilgtspēju.</w:t>
      </w:r>
    </w:p>
    <w:p w:rsidR="00A43AE7" w:rsidRPr="00864486" w:rsidRDefault="00A43AE7" w:rsidP="00864486">
      <w:pPr>
        <w:spacing w:after="60" w:line="276" w:lineRule="auto"/>
        <w:jc w:val="both"/>
        <w:rPr>
          <w:rFonts w:ascii="Arial" w:hAnsi="Arial" w:cs="Arial"/>
          <w:sz w:val="22"/>
          <w:szCs w:val="22"/>
        </w:rPr>
      </w:pPr>
      <w:r w:rsidRPr="00864486">
        <w:rPr>
          <w:rFonts w:ascii="Arial" w:hAnsi="Arial" w:cs="Arial"/>
          <w:sz w:val="22"/>
          <w:szCs w:val="22"/>
        </w:rPr>
        <w:lastRenderedPageBreak/>
        <w:t xml:space="preserve">Informācija par </w:t>
      </w:r>
      <w:r w:rsidRPr="00864486">
        <w:rPr>
          <w:rFonts w:ascii="Arial" w:hAnsi="Arial" w:cs="Arial"/>
          <w:i/>
          <w:sz w:val="22"/>
          <w:szCs w:val="22"/>
        </w:rPr>
        <w:t>Green Deal</w:t>
      </w:r>
      <w:r w:rsidRPr="00864486">
        <w:rPr>
          <w:rFonts w:ascii="Arial" w:hAnsi="Arial" w:cs="Arial"/>
          <w:sz w:val="22"/>
          <w:szCs w:val="22"/>
        </w:rPr>
        <w:t xml:space="preserve"> latviešu valodā pieejama </w:t>
      </w:r>
      <w:hyperlink r:id="rId8" w:history="1">
        <w:r w:rsidRPr="00864486">
          <w:rPr>
            <w:rStyle w:val="Hyperlink"/>
            <w:rFonts w:ascii="Arial" w:hAnsi="Arial" w:cs="Arial"/>
            <w:sz w:val="22"/>
            <w:szCs w:val="22"/>
          </w:rPr>
          <w:t>https://ec.europa.eu/info/strategy/priorities-2019-2024/european-green-deal_lv</w:t>
        </w:r>
      </w:hyperlink>
    </w:p>
    <w:p w:rsidR="00A43AE7" w:rsidRPr="00864486" w:rsidRDefault="005C67C7" w:rsidP="00864486">
      <w:pPr>
        <w:spacing w:after="60" w:line="276" w:lineRule="auto"/>
        <w:jc w:val="both"/>
        <w:rPr>
          <w:rFonts w:ascii="Arial" w:hAnsi="Arial" w:cs="Arial"/>
          <w:sz w:val="22"/>
          <w:szCs w:val="22"/>
        </w:rPr>
      </w:pPr>
      <w:r>
        <w:rPr>
          <w:rFonts w:ascii="Arial" w:hAnsi="Arial" w:cs="Arial"/>
          <w:sz w:val="22"/>
          <w:szCs w:val="22"/>
        </w:rPr>
        <w:t>COPA-COGECA</w:t>
      </w:r>
      <w:r w:rsidR="00A43AE7" w:rsidRPr="00864486">
        <w:rPr>
          <w:rFonts w:ascii="Arial" w:hAnsi="Arial" w:cs="Arial"/>
          <w:sz w:val="22"/>
          <w:szCs w:val="22"/>
        </w:rPr>
        <w:t xml:space="preserve"> nākamā KLP darba grupas tikšanās notiks 2020. gada 17. martā. Darba kārtībā – aktualitātes KLP, lobija darba koordinēšana un citi jautājumi, kas saistīti ar KLP.</w:t>
      </w:r>
    </w:p>
    <w:p w:rsidR="00A43AE7" w:rsidRPr="00864486" w:rsidRDefault="00A43AE7" w:rsidP="00864486">
      <w:pPr>
        <w:spacing w:after="60" w:line="276" w:lineRule="auto"/>
        <w:jc w:val="both"/>
        <w:rPr>
          <w:rFonts w:ascii="Arial" w:hAnsi="Arial" w:cs="Arial"/>
          <w:sz w:val="22"/>
          <w:szCs w:val="22"/>
        </w:rPr>
      </w:pPr>
    </w:p>
    <w:p w:rsidR="0055513E" w:rsidRPr="00864486" w:rsidRDefault="0055513E" w:rsidP="00864486">
      <w:pPr>
        <w:spacing w:after="60" w:line="276" w:lineRule="auto"/>
        <w:ind w:left="720" w:firstLine="720"/>
        <w:jc w:val="both"/>
        <w:rPr>
          <w:rFonts w:ascii="Arial" w:hAnsi="Arial" w:cs="Arial"/>
          <w:sz w:val="22"/>
          <w:szCs w:val="22"/>
        </w:rPr>
      </w:pPr>
    </w:p>
    <w:p w:rsidR="0055513E" w:rsidRPr="00864486" w:rsidRDefault="0055513E" w:rsidP="00864486">
      <w:pPr>
        <w:spacing w:after="60" w:line="276" w:lineRule="auto"/>
        <w:ind w:left="720" w:firstLine="720"/>
        <w:jc w:val="both"/>
        <w:rPr>
          <w:rFonts w:ascii="Arial" w:hAnsi="Arial" w:cs="Arial"/>
          <w:sz w:val="22"/>
          <w:szCs w:val="22"/>
        </w:rPr>
      </w:pPr>
      <w:r w:rsidRPr="00864486">
        <w:rPr>
          <w:rFonts w:ascii="Arial" w:hAnsi="Arial" w:cs="Arial"/>
          <w:sz w:val="22"/>
          <w:szCs w:val="22"/>
        </w:rPr>
        <w:t>Atskaiti sagatavoja ekspert</w:t>
      </w:r>
      <w:r w:rsidR="005C67C7">
        <w:rPr>
          <w:rFonts w:ascii="Arial" w:hAnsi="Arial" w:cs="Arial"/>
          <w:sz w:val="22"/>
          <w:szCs w:val="22"/>
        </w:rPr>
        <w:t>e</w:t>
      </w:r>
      <w:bookmarkStart w:id="0" w:name="_GoBack"/>
      <w:bookmarkEnd w:id="0"/>
      <w:r w:rsidRPr="00864486">
        <w:rPr>
          <w:rFonts w:ascii="Arial" w:hAnsi="Arial" w:cs="Arial"/>
          <w:sz w:val="22"/>
          <w:szCs w:val="22"/>
        </w:rPr>
        <w:t xml:space="preserve">                                    </w:t>
      </w:r>
      <w:r w:rsidR="005C67C7">
        <w:rPr>
          <w:rFonts w:ascii="Arial" w:hAnsi="Arial" w:cs="Arial"/>
          <w:sz w:val="22"/>
          <w:szCs w:val="22"/>
        </w:rPr>
        <w:t>Agnese Hauka</w:t>
      </w:r>
    </w:p>
    <w:p w:rsidR="00D258B1" w:rsidRPr="00864486" w:rsidRDefault="00D258B1" w:rsidP="00864486">
      <w:pPr>
        <w:spacing w:after="60" w:line="276" w:lineRule="auto"/>
        <w:rPr>
          <w:rFonts w:asciiTheme="minorHAnsi" w:hAnsiTheme="minorHAnsi" w:cs="Arial"/>
          <w:sz w:val="22"/>
          <w:szCs w:val="22"/>
        </w:rPr>
      </w:pPr>
    </w:p>
    <w:sectPr w:rsidR="00D258B1" w:rsidRPr="00864486" w:rsidSect="00B70C95">
      <w:headerReference w:type="default" r:id="rId9"/>
      <w:footerReference w:type="default" r:id="rId10"/>
      <w:pgSz w:w="11906" w:h="16838"/>
      <w:pgMar w:top="1418" w:right="1418" w:bottom="1418" w:left="1418" w:header="1412" w:footer="1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72" w:rsidRDefault="00236672">
      <w:r>
        <w:separator/>
      </w:r>
    </w:p>
  </w:endnote>
  <w:endnote w:type="continuationSeparator" w:id="0">
    <w:p w:rsidR="00236672" w:rsidRDefault="002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F1" w:rsidRDefault="005C67C7" w:rsidP="00EA04F1">
    <w:pPr>
      <w:pStyle w:val="Footer"/>
      <w:tabs>
        <w:tab w:val="clear" w:pos="4153"/>
        <w:tab w:val="clear" w:pos="8306"/>
        <w:tab w:val="left" w:pos="5184"/>
      </w:tabs>
    </w:pPr>
    <w:r>
      <w:rPr>
        <w:noProof/>
      </w:rPr>
      <w:drawing>
        <wp:anchor distT="0" distB="0" distL="114300" distR="114300" simplePos="0" relativeHeight="251660800" behindDoc="1" locked="0" layoutInCell="1" allowOverlap="1">
          <wp:simplePos x="0" y="0"/>
          <wp:positionH relativeFrom="column">
            <wp:posOffset>1101725</wp:posOffset>
          </wp:positionH>
          <wp:positionV relativeFrom="paragraph">
            <wp:posOffset>191770</wp:posOffset>
          </wp:positionV>
          <wp:extent cx="1682115" cy="692150"/>
          <wp:effectExtent l="0" t="0" r="0" b="0"/>
          <wp:wrapTight wrapText="bothSides">
            <wp:wrapPolygon edited="0">
              <wp:start x="0" y="0"/>
              <wp:lineTo x="0" y="20807"/>
              <wp:lineTo x="21282" y="20807"/>
              <wp:lineTo x="21282" y="0"/>
              <wp:lineTo x="0" y="0"/>
            </wp:wrapPolygon>
          </wp:wrapTight>
          <wp:docPr id="3" name="Picture 1" descr="C:\Users\User\Documents\JAUNAIS LOGO\JPG LOGO\LLKC garais logo_Horizontali_zals un ze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UNAIS LOGO\JPG LOGO\LLKC garais logo_Horizontali_zals un zel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3531235</wp:posOffset>
          </wp:positionH>
          <wp:positionV relativeFrom="paragraph">
            <wp:posOffset>99695</wp:posOffset>
          </wp:positionV>
          <wp:extent cx="1111885" cy="841375"/>
          <wp:effectExtent l="0" t="0" r="0" b="0"/>
          <wp:wrapTight wrapText="bothSides">
            <wp:wrapPolygon edited="0">
              <wp:start x="9622" y="0"/>
              <wp:lineTo x="5181" y="1956"/>
              <wp:lineTo x="2591" y="4891"/>
              <wp:lineTo x="1850" y="11737"/>
              <wp:lineTo x="2961" y="15161"/>
              <wp:lineTo x="4811" y="15650"/>
              <wp:lineTo x="0" y="18095"/>
              <wp:lineTo x="0" y="21029"/>
              <wp:lineTo x="5921" y="21029"/>
              <wp:lineTo x="20724" y="21029"/>
              <wp:lineTo x="21094" y="21029"/>
              <wp:lineTo x="21094" y="19073"/>
              <wp:lineTo x="16653" y="15650"/>
              <wp:lineTo x="18504" y="15650"/>
              <wp:lineTo x="19244" y="11737"/>
              <wp:lineTo x="18134" y="7825"/>
              <wp:lineTo x="19614" y="4402"/>
              <wp:lineTo x="17764" y="2445"/>
              <wp:lineTo x="11472" y="0"/>
              <wp:lineTo x="9622" y="0"/>
            </wp:wrapPolygon>
          </wp:wrapTight>
          <wp:docPr id="2" name="Picture 6" descr="Zemkopības ministrijas nozares portā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mkopības ministrijas nozares portā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85" cy="841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72" w:rsidRDefault="00236672">
      <w:r>
        <w:separator/>
      </w:r>
    </w:p>
  </w:footnote>
  <w:footnote w:type="continuationSeparator" w:id="0">
    <w:p w:rsidR="00236672" w:rsidRDefault="0023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80" w:rsidRPr="008E5380" w:rsidRDefault="00B5235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3.45pt;margin-top:-43.65pt;width:123.3pt;height:32.65pt;z-index:251654656" wrapcoords="-99 0 -99 21228 21600 21228 21600 0 -99 0">
          <v:imagedata r:id="rId1" o:title=""/>
          <w10:wrap type="tight"/>
        </v:shape>
        <o:OLEObject Type="Embed" ProgID="MSPhotoEd.3" ShapeID="_x0000_s2049" DrawAspect="Content" ObjectID="_1643015835" r:id="rId2"/>
      </w:pict>
    </w:r>
    <w:r w:rsidR="005C67C7">
      <w:rPr>
        <w:noProof/>
      </w:rPr>
      <w:drawing>
        <wp:anchor distT="0" distB="0" distL="114300" distR="114300" simplePos="0" relativeHeight="251658752" behindDoc="1" locked="0" layoutInCell="1" allowOverlap="1">
          <wp:simplePos x="0" y="0"/>
          <wp:positionH relativeFrom="column">
            <wp:posOffset>4759325</wp:posOffset>
          </wp:positionH>
          <wp:positionV relativeFrom="paragraph">
            <wp:posOffset>-654685</wp:posOffset>
          </wp:positionV>
          <wp:extent cx="1417955" cy="588010"/>
          <wp:effectExtent l="0" t="0" r="0" b="2540"/>
          <wp:wrapTight wrapText="bothSides">
            <wp:wrapPolygon edited="0">
              <wp:start x="0" y="0"/>
              <wp:lineTo x="0" y="20994"/>
              <wp:lineTo x="21184" y="20994"/>
              <wp:lineTo x="21184" y="0"/>
              <wp:lineTo x="0" y="0"/>
            </wp:wrapPolygon>
          </wp:wrapTight>
          <wp:docPr id="7" name="Picture 5" descr="LS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A-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95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7C7">
      <w:rPr>
        <w:noProof/>
      </w:rPr>
      <w:drawing>
        <wp:anchor distT="0" distB="0" distL="114300" distR="114300" simplePos="0" relativeHeight="251655680" behindDoc="1" locked="0" layoutInCell="1" allowOverlap="1">
          <wp:simplePos x="0" y="0"/>
          <wp:positionH relativeFrom="column">
            <wp:posOffset>2535555</wp:posOffset>
          </wp:positionH>
          <wp:positionV relativeFrom="paragraph">
            <wp:posOffset>-796290</wp:posOffset>
          </wp:positionV>
          <wp:extent cx="323215" cy="914400"/>
          <wp:effectExtent l="0" t="0" r="635" b="0"/>
          <wp:wrapTight wrapText="bothSides">
            <wp:wrapPolygon edited="0">
              <wp:start x="0" y="0"/>
              <wp:lineTo x="0" y="21150"/>
              <wp:lineTo x="20369" y="21150"/>
              <wp:lineTo x="20369" y="0"/>
              <wp:lineTo x="0" y="0"/>
            </wp:wrapPolygon>
          </wp:wrapTight>
          <wp:docPr id="6" name="Picture 2" descr="lzf_new_white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f_new_white_50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2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7C7">
      <w:rPr>
        <w:noProof/>
      </w:rPr>
      <w:drawing>
        <wp:anchor distT="0" distB="0" distL="114300" distR="114300" simplePos="0" relativeHeight="251657728" behindDoc="1" locked="0" layoutInCell="1" allowOverlap="1">
          <wp:simplePos x="0" y="0"/>
          <wp:positionH relativeFrom="column">
            <wp:posOffset>-69850</wp:posOffset>
          </wp:positionH>
          <wp:positionV relativeFrom="paragraph">
            <wp:posOffset>-654050</wp:posOffset>
          </wp:positionV>
          <wp:extent cx="600075" cy="577850"/>
          <wp:effectExtent l="0" t="0" r="9525" b="0"/>
          <wp:wrapTight wrapText="bothSides">
            <wp:wrapPolygon edited="0">
              <wp:start x="0" y="0"/>
              <wp:lineTo x="0" y="20651"/>
              <wp:lineTo x="21257" y="20651"/>
              <wp:lineTo x="2125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577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67C7">
      <w:rPr>
        <w:noProof/>
      </w:rPr>
      <w:drawing>
        <wp:anchor distT="0" distB="0" distL="114300" distR="114300" simplePos="0" relativeHeight="251656704" behindDoc="1" locked="0" layoutInCell="1" allowOverlap="1">
          <wp:simplePos x="0" y="0"/>
          <wp:positionH relativeFrom="column">
            <wp:posOffset>647700</wp:posOffset>
          </wp:positionH>
          <wp:positionV relativeFrom="paragraph">
            <wp:posOffset>-656590</wp:posOffset>
          </wp:positionV>
          <wp:extent cx="1640205" cy="731520"/>
          <wp:effectExtent l="0" t="0" r="0" b="0"/>
          <wp:wrapTight wrapText="bothSides">
            <wp:wrapPolygon edited="0">
              <wp:start x="0" y="0"/>
              <wp:lineTo x="0" y="20813"/>
              <wp:lineTo x="21324" y="20813"/>
              <wp:lineTo x="21324" y="0"/>
              <wp:lineTo x="0" y="0"/>
            </wp:wrapPolygon>
          </wp:wrapTight>
          <wp:docPr id="4" name="Picture 3" descr="l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EE0"/>
    <w:multiLevelType w:val="hybridMultilevel"/>
    <w:tmpl w:val="960E275A"/>
    <w:lvl w:ilvl="0" w:tplc="24A05BD2">
      <w:start w:val="1"/>
      <w:numFmt w:val="decimal"/>
      <w:lvlText w:val="%1."/>
      <w:lvlJc w:val="left"/>
      <w:pPr>
        <w:ind w:left="720" w:hanging="360"/>
      </w:pPr>
      <w:rPr>
        <w:rFonts w:ascii="Calibri" w:hAnsi="Calibri"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E445D"/>
    <w:multiLevelType w:val="hybridMultilevel"/>
    <w:tmpl w:val="6AF6CB4A"/>
    <w:lvl w:ilvl="0" w:tplc="04090011">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F51BC7"/>
    <w:multiLevelType w:val="hybridMultilevel"/>
    <w:tmpl w:val="D2882106"/>
    <w:lvl w:ilvl="0" w:tplc="496E842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D83F2A"/>
    <w:multiLevelType w:val="hybridMultilevel"/>
    <w:tmpl w:val="D1068612"/>
    <w:lvl w:ilvl="0" w:tplc="496E842C">
      <w:start w:val="1"/>
      <w:numFmt w:val="bullet"/>
      <w:lvlText w:val="-"/>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EA6170D"/>
    <w:multiLevelType w:val="hybridMultilevel"/>
    <w:tmpl w:val="3B243254"/>
    <w:lvl w:ilvl="0" w:tplc="CC16262E">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171DFF"/>
    <w:multiLevelType w:val="hybridMultilevel"/>
    <w:tmpl w:val="B254F338"/>
    <w:lvl w:ilvl="0" w:tplc="6422DDCC">
      <w:start w:val="1"/>
      <w:numFmt w:val="decimal"/>
      <w:lvlText w:val="%1."/>
      <w:lvlJc w:val="left"/>
      <w:pPr>
        <w:ind w:left="720" w:hanging="360"/>
      </w:pPr>
      <w:rPr>
        <w:rFonts w:ascii="Arial" w:hAnsi="Arial" w:cs="Arial"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A83F45"/>
    <w:multiLevelType w:val="hybridMultilevel"/>
    <w:tmpl w:val="08760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B3327B"/>
    <w:multiLevelType w:val="hybridMultilevel"/>
    <w:tmpl w:val="A8A8C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8A0D6E"/>
    <w:multiLevelType w:val="hybridMultilevel"/>
    <w:tmpl w:val="EA7C3F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5C7948"/>
    <w:multiLevelType w:val="hybridMultilevel"/>
    <w:tmpl w:val="12FEE8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05838D8"/>
    <w:multiLevelType w:val="hybridMultilevel"/>
    <w:tmpl w:val="B254F338"/>
    <w:lvl w:ilvl="0" w:tplc="6422DDCC">
      <w:start w:val="1"/>
      <w:numFmt w:val="decimal"/>
      <w:lvlText w:val="%1."/>
      <w:lvlJc w:val="left"/>
      <w:pPr>
        <w:ind w:left="720" w:hanging="360"/>
      </w:pPr>
      <w:rPr>
        <w:rFonts w:ascii="Arial" w:hAnsi="Arial" w:cs="Arial"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A964C4"/>
    <w:multiLevelType w:val="hybridMultilevel"/>
    <w:tmpl w:val="233AD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A061A5"/>
    <w:multiLevelType w:val="hybridMultilevel"/>
    <w:tmpl w:val="6074D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B41932"/>
    <w:multiLevelType w:val="hybridMultilevel"/>
    <w:tmpl w:val="6D2A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A9551D3"/>
    <w:multiLevelType w:val="hybridMultilevel"/>
    <w:tmpl w:val="F6F60014"/>
    <w:lvl w:ilvl="0" w:tplc="8C8EBD2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2C4C3E"/>
    <w:multiLevelType w:val="hybridMultilevel"/>
    <w:tmpl w:val="F8CAF2E6"/>
    <w:lvl w:ilvl="0" w:tplc="9064E424">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77BF3D35"/>
    <w:multiLevelType w:val="hybridMultilevel"/>
    <w:tmpl w:val="A442E3CC"/>
    <w:lvl w:ilvl="0" w:tplc="8C8EBD2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0B0767"/>
    <w:multiLevelType w:val="hybridMultilevel"/>
    <w:tmpl w:val="230E1390"/>
    <w:lvl w:ilvl="0" w:tplc="D976452C">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E2425E"/>
    <w:multiLevelType w:val="hybridMultilevel"/>
    <w:tmpl w:val="960E275A"/>
    <w:lvl w:ilvl="0" w:tplc="24A05BD2">
      <w:start w:val="1"/>
      <w:numFmt w:val="decimal"/>
      <w:lvlText w:val="%1."/>
      <w:lvlJc w:val="left"/>
      <w:pPr>
        <w:ind w:left="720" w:hanging="360"/>
      </w:pPr>
      <w:rPr>
        <w:rFonts w:ascii="Calibri" w:hAnsi="Calibri"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5"/>
  </w:num>
  <w:num w:numId="7">
    <w:abstractNumId w:val="10"/>
  </w:num>
  <w:num w:numId="8">
    <w:abstractNumId w:val="9"/>
  </w:num>
  <w:num w:numId="9">
    <w:abstractNumId w:val="15"/>
  </w:num>
  <w:num w:numId="10">
    <w:abstractNumId w:val="9"/>
  </w:num>
  <w:num w:numId="11">
    <w:abstractNumId w:val="12"/>
  </w:num>
  <w:num w:numId="12">
    <w:abstractNumId w:val="16"/>
  </w:num>
  <w:num w:numId="13">
    <w:abstractNumId w:val="3"/>
  </w:num>
  <w:num w:numId="14">
    <w:abstractNumId w:val="2"/>
  </w:num>
  <w:num w:numId="15">
    <w:abstractNumId w:val="14"/>
  </w:num>
  <w:num w:numId="16">
    <w:abstractNumId w:val="0"/>
  </w:num>
  <w:num w:numId="17">
    <w:abstractNumId w:val="6"/>
  </w:num>
  <w:num w:numId="18">
    <w:abstractNumId w:val="18"/>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5"/>
    <w:rsid w:val="000325C6"/>
    <w:rsid w:val="00075131"/>
    <w:rsid w:val="0009117D"/>
    <w:rsid w:val="000D0502"/>
    <w:rsid w:val="000D5799"/>
    <w:rsid w:val="000F40A6"/>
    <w:rsid w:val="0014387D"/>
    <w:rsid w:val="00170DB3"/>
    <w:rsid w:val="00196EB8"/>
    <w:rsid w:val="001A77F2"/>
    <w:rsid w:val="001C0C12"/>
    <w:rsid w:val="001C5608"/>
    <w:rsid w:val="00211BBB"/>
    <w:rsid w:val="00220AD6"/>
    <w:rsid w:val="00225765"/>
    <w:rsid w:val="002362ED"/>
    <w:rsid w:val="00236672"/>
    <w:rsid w:val="00240AEB"/>
    <w:rsid w:val="002424B7"/>
    <w:rsid w:val="00247FE6"/>
    <w:rsid w:val="002D26FA"/>
    <w:rsid w:val="003544E4"/>
    <w:rsid w:val="00355D90"/>
    <w:rsid w:val="00386B47"/>
    <w:rsid w:val="003A2716"/>
    <w:rsid w:val="003B1F75"/>
    <w:rsid w:val="003D06D0"/>
    <w:rsid w:val="003D5544"/>
    <w:rsid w:val="003E5839"/>
    <w:rsid w:val="004013BD"/>
    <w:rsid w:val="0040344B"/>
    <w:rsid w:val="00416F2A"/>
    <w:rsid w:val="00447A3E"/>
    <w:rsid w:val="004751FC"/>
    <w:rsid w:val="004929C8"/>
    <w:rsid w:val="004A564A"/>
    <w:rsid w:val="004B09CB"/>
    <w:rsid w:val="004F47B2"/>
    <w:rsid w:val="005462A7"/>
    <w:rsid w:val="00547307"/>
    <w:rsid w:val="0055513E"/>
    <w:rsid w:val="00561E83"/>
    <w:rsid w:val="005723DF"/>
    <w:rsid w:val="00585F7C"/>
    <w:rsid w:val="005A3FE5"/>
    <w:rsid w:val="005A4C0E"/>
    <w:rsid w:val="005B2958"/>
    <w:rsid w:val="005C054F"/>
    <w:rsid w:val="005C67C7"/>
    <w:rsid w:val="005C6900"/>
    <w:rsid w:val="005F1483"/>
    <w:rsid w:val="00612F77"/>
    <w:rsid w:val="0062555E"/>
    <w:rsid w:val="006353F4"/>
    <w:rsid w:val="00657088"/>
    <w:rsid w:val="00671CA6"/>
    <w:rsid w:val="006728D3"/>
    <w:rsid w:val="0067368F"/>
    <w:rsid w:val="0067391B"/>
    <w:rsid w:val="00696882"/>
    <w:rsid w:val="006B0C72"/>
    <w:rsid w:val="006B21DD"/>
    <w:rsid w:val="006C2284"/>
    <w:rsid w:val="006D073B"/>
    <w:rsid w:val="006D4F6E"/>
    <w:rsid w:val="006E01BB"/>
    <w:rsid w:val="006F5C7D"/>
    <w:rsid w:val="00706D91"/>
    <w:rsid w:val="00714754"/>
    <w:rsid w:val="007227E9"/>
    <w:rsid w:val="00737B92"/>
    <w:rsid w:val="00781735"/>
    <w:rsid w:val="00782E62"/>
    <w:rsid w:val="007A782A"/>
    <w:rsid w:val="007B3B25"/>
    <w:rsid w:val="007F4745"/>
    <w:rsid w:val="0080666B"/>
    <w:rsid w:val="00813B27"/>
    <w:rsid w:val="00864486"/>
    <w:rsid w:val="008822C4"/>
    <w:rsid w:val="008D2AC0"/>
    <w:rsid w:val="008D2E79"/>
    <w:rsid w:val="008E5054"/>
    <w:rsid w:val="008E5380"/>
    <w:rsid w:val="008F0FF8"/>
    <w:rsid w:val="009105B0"/>
    <w:rsid w:val="009140AB"/>
    <w:rsid w:val="009915DE"/>
    <w:rsid w:val="009C7427"/>
    <w:rsid w:val="009E15EA"/>
    <w:rsid w:val="00A15623"/>
    <w:rsid w:val="00A4225E"/>
    <w:rsid w:val="00A43AE7"/>
    <w:rsid w:val="00A8762D"/>
    <w:rsid w:val="00A953AA"/>
    <w:rsid w:val="00A962C8"/>
    <w:rsid w:val="00AA6187"/>
    <w:rsid w:val="00AB6ED7"/>
    <w:rsid w:val="00AE5A9E"/>
    <w:rsid w:val="00B2150D"/>
    <w:rsid w:val="00B5235C"/>
    <w:rsid w:val="00B52433"/>
    <w:rsid w:val="00B53081"/>
    <w:rsid w:val="00B70C95"/>
    <w:rsid w:val="00B9002D"/>
    <w:rsid w:val="00BD3013"/>
    <w:rsid w:val="00BD30B4"/>
    <w:rsid w:val="00BD4BD5"/>
    <w:rsid w:val="00BF74B5"/>
    <w:rsid w:val="00C27022"/>
    <w:rsid w:val="00C65947"/>
    <w:rsid w:val="00CB6CFC"/>
    <w:rsid w:val="00CF7D60"/>
    <w:rsid w:val="00D10893"/>
    <w:rsid w:val="00D21166"/>
    <w:rsid w:val="00D258B1"/>
    <w:rsid w:val="00D3725E"/>
    <w:rsid w:val="00D3750F"/>
    <w:rsid w:val="00D505D0"/>
    <w:rsid w:val="00D7339F"/>
    <w:rsid w:val="00D77028"/>
    <w:rsid w:val="00D80832"/>
    <w:rsid w:val="00DA2B85"/>
    <w:rsid w:val="00DA3C37"/>
    <w:rsid w:val="00DC6762"/>
    <w:rsid w:val="00DF5FEE"/>
    <w:rsid w:val="00E00214"/>
    <w:rsid w:val="00E42A48"/>
    <w:rsid w:val="00E52CC0"/>
    <w:rsid w:val="00E93C2A"/>
    <w:rsid w:val="00E93CA8"/>
    <w:rsid w:val="00EA04F1"/>
    <w:rsid w:val="00EA1AFA"/>
    <w:rsid w:val="00EC3A5D"/>
    <w:rsid w:val="00EC4E7B"/>
    <w:rsid w:val="00F3206D"/>
    <w:rsid w:val="00F4769F"/>
    <w:rsid w:val="00F52F31"/>
    <w:rsid w:val="00FA6ADA"/>
    <w:rsid w:val="00FB1735"/>
    <w:rsid w:val="00FC7378"/>
    <w:rsid w:val="00FD2FBD"/>
    <w:rsid w:val="00FE0D54"/>
    <w:rsid w:val="00FE5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A3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B25"/>
    <w:pPr>
      <w:spacing w:before="100" w:beforeAutospacing="1" w:after="100" w:afterAutospacing="1"/>
    </w:pPr>
  </w:style>
  <w:style w:type="character" w:styleId="Hyperlink">
    <w:name w:val="Hyperlink"/>
    <w:rsid w:val="00C65947"/>
    <w:rPr>
      <w:color w:val="0000FF"/>
      <w:u w:val="single"/>
    </w:rPr>
  </w:style>
  <w:style w:type="paragraph" w:styleId="Header">
    <w:name w:val="header"/>
    <w:basedOn w:val="Normal"/>
    <w:rsid w:val="008E5380"/>
    <w:pPr>
      <w:tabs>
        <w:tab w:val="center" w:pos="4153"/>
        <w:tab w:val="right" w:pos="8306"/>
      </w:tabs>
    </w:pPr>
  </w:style>
  <w:style w:type="paragraph" w:styleId="Footer">
    <w:name w:val="footer"/>
    <w:basedOn w:val="Normal"/>
    <w:link w:val="FooterChar"/>
    <w:uiPriority w:val="99"/>
    <w:rsid w:val="008E5380"/>
    <w:pPr>
      <w:tabs>
        <w:tab w:val="center" w:pos="4153"/>
        <w:tab w:val="right" w:pos="8306"/>
      </w:tabs>
    </w:pPr>
  </w:style>
  <w:style w:type="paragraph" w:styleId="BodyText3">
    <w:name w:val="Body Text 3"/>
    <w:basedOn w:val="Normal"/>
    <w:link w:val="BodyText3Char"/>
    <w:rsid w:val="00FD2FBD"/>
    <w:pPr>
      <w:spacing w:line="360" w:lineRule="auto"/>
    </w:pPr>
    <w:rPr>
      <w:szCs w:val="20"/>
      <w:lang w:val="lt-LT" w:eastAsia="en-US"/>
    </w:rPr>
  </w:style>
  <w:style w:type="character" w:customStyle="1" w:styleId="BodyText3Char">
    <w:name w:val="Body Text 3 Char"/>
    <w:link w:val="BodyText3"/>
    <w:rsid w:val="00FD2FBD"/>
    <w:rPr>
      <w:sz w:val="24"/>
      <w:lang w:val="lt-LT"/>
    </w:rPr>
  </w:style>
  <w:style w:type="character" w:customStyle="1" w:styleId="FooterChar">
    <w:name w:val="Footer Char"/>
    <w:link w:val="Footer"/>
    <w:uiPriority w:val="99"/>
    <w:rsid w:val="00EA04F1"/>
    <w:rPr>
      <w:noProof/>
      <w:sz w:val="24"/>
      <w:szCs w:val="24"/>
      <w:lang w:val="en-GB" w:eastAsia="lv-LV"/>
    </w:rPr>
  </w:style>
  <w:style w:type="paragraph" w:styleId="BalloonText">
    <w:name w:val="Balloon Text"/>
    <w:basedOn w:val="Normal"/>
    <w:link w:val="BalloonTextChar"/>
    <w:rsid w:val="00EA04F1"/>
    <w:rPr>
      <w:rFonts w:ascii="Tahoma" w:hAnsi="Tahoma" w:cs="Tahoma"/>
      <w:sz w:val="16"/>
      <w:szCs w:val="16"/>
    </w:rPr>
  </w:style>
  <w:style w:type="character" w:customStyle="1" w:styleId="BalloonTextChar">
    <w:name w:val="Balloon Text Char"/>
    <w:link w:val="BalloonText"/>
    <w:rsid w:val="00EA04F1"/>
    <w:rPr>
      <w:rFonts w:ascii="Tahoma" w:hAnsi="Tahoma" w:cs="Tahoma"/>
      <w:noProof/>
      <w:sz w:val="16"/>
      <w:szCs w:val="16"/>
      <w:lang w:val="en-GB" w:eastAsia="lv-LV"/>
    </w:rPr>
  </w:style>
  <w:style w:type="paragraph" w:styleId="CommentText">
    <w:name w:val="annotation text"/>
    <w:basedOn w:val="Normal"/>
    <w:link w:val="CommentTextChar"/>
    <w:semiHidden/>
    <w:unhideWhenUsed/>
    <w:rsid w:val="006D073B"/>
    <w:rPr>
      <w:sz w:val="20"/>
      <w:szCs w:val="20"/>
    </w:rPr>
  </w:style>
  <w:style w:type="character" w:customStyle="1" w:styleId="CommentTextChar">
    <w:name w:val="Comment Text Char"/>
    <w:link w:val="CommentText"/>
    <w:semiHidden/>
    <w:rsid w:val="006D073B"/>
    <w:rPr>
      <w:noProof/>
      <w:lang w:val="en-GB" w:eastAsia="lv-LV"/>
    </w:rPr>
  </w:style>
  <w:style w:type="paragraph" w:styleId="CommentSubject">
    <w:name w:val="annotation subject"/>
    <w:basedOn w:val="CommentText"/>
    <w:next w:val="CommentText"/>
    <w:link w:val="CommentSubjectChar"/>
    <w:uiPriority w:val="99"/>
    <w:semiHidden/>
    <w:unhideWhenUsed/>
    <w:rsid w:val="006D073B"/>
    <w:pPr>
      <w:spacing w:after="160" w:line="259"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6D073B"/>
    <w:rPr>
      <w:rFonts w:ascii="Calibri" w:eastAsia="Calibri" w:hAnsi="Calibri"/>
      <w:b/>
      <w:bCs/>
      <w:noProof/>
      <w:lang w:val="lv-LV" w:eastAsia="lv-LV"/>
    </w:rPr>
  </w:style>
  <w:style w:type="paragraph" w:styleId="ListParagraph">
    <w:name w:val="List Paragraph"/>
    <w:basedOn w:val="Normal"/>
    <w:uiPriority w:val="34"/>
    <w:qFormat/>
    <w:rsid w:val="00E93C2A"/>
    <w:pPr>
      <w:ind w:left="720"/>
      <w:contextualSpacing/>
    </w:pPr>
    <w:rPr>
      <w:rFonts w:ascii="Calibri" w:eastAsia="Calibri" w:hAnsi="Calibri"/>
      <w:lang w:eastAsia="en-US"/>
    </w:rPr>
  </w:style>
  <w:style w:type="character" w:customStyle="1" w:styleId="Heading1Char">
    <w:name w:val="Heading 1 Char"/>
    <w:link w:val="Heading1"/>
    <w:rsid w:val="00447A3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447A3E"/>
  </w:style>
  <w:style w:type="paragraph" w:styleId="PlainText">
    <w:name w:val="Plain Text"/>
    <w:basedOn w:val="Normal"/>
    <w:link w:val="PlainTextChar"/>
    <w:uiPriority w:val="99"/>
    <w:semiHidden/>
    <w:unhideWhenUsed/>
    <w:rsid w:val="00D505D0"/>
    <w:rPr>
      <w:rFonts w:ascii="Calibri" w:eastAsia="Calibri" w:hAnsi="Calibri"/>
      <w:sz w:val="22"/>
      <w:szCs w:val="21"/>
      <w:lang w:eastAsia="en-US"/>
    </w:rPr>
  </w:style>
  <w:style w:type="character" w:customStyle="1" w:styleId="PlainTextChar">
    <w:name w:val="Plain Text Char"/>
    <w:link w:val="PlainText"/>
    <w:uiPriority w:val="99"/>
    <w:semiHidden/>
    <w:rsid w:val="00D505D0"/>
    <w:rPr>
      <w:rFonts w:ascii="Calibri" w:eastAsia="Calibri" w:hAnsi="Calibri" w:cs="Times New Roman"/>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7A3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B25"/>
    <w:pPr>
      <w:spacing w:before="100" w:beforeAutospacing="1" w:after="100" w:afterAutospacing="1"/>
    </w:pPr>
  </w:style>
  <w:style w:type="character" w:styleId="Hyperlink">
    <w:name w:val="Hyperlink"/>
    <w:rsid w:val="00C65947"/>
    <w:rPr>
      <w:color w:val="0000FF"/>
      <w:u w:val="single"/>
    </w:rPr>
  </w:style>
  <w:style w:type="paragraph" w:styleId="Header">
    <w:name w:val="header"/>
    <w:basedOn w:val="Normal"/>
    <w:rsid w:val="008E5380"/>
    <w:pPr>
      <w:tabs>
        <w:tab w:val="center" w:pos="4153"/>
        <w:tab w:val="right" w:pos="8306"/>
      </w:tabs>
    </w:pPr>
  </w:style>
  <w:style w:type="paragraph" w:styleId="Footer">
    <w:name w:val="footer"/>
    <w:basedOn w:val="Normal"/>
    <w:link w:val="FooterChar"/>
    <w:uiPriority w:val="99"/>
    <w:rsid w:val="008E5380"/>
    <w:pPr>
      <w:tabs>
        <w:tab w:val="center" w:pos="4153"/>
        <w:tab w:val="right" w:pos="8306"/>
      </w:tabs>
    </w:pPr>
  </w:style>
  <w:style w:type="paragraph" w:styleId="BodyText3">
    <w:name w:val="Body Text 3"/>
    <w:basedOn w:val="Normal"/>
    <w:link w:val="BodyText3Char"/>
    <w:rsid w:val="00FD2FBD"/>
    <w:pPr>
      <w:spacing w:line="360" w:lineRule="auto"/>
    </w:pPr>
    <w:rPr>
      <w:szCs w:val="20"/>
      <w:lang w:val="lt-LT" w:eastAsia="en-US"/>
    </w:rPr>
  </w:style>
  <w:style w:type="character" w:customStyle="1" w:styleId="BodyText3Char">
    <w:name w:val="Body Text 3 Char"/>
    <w:link w:val="BodyText3"/>
    <w:rsid w:val="00FD2FBD"/>
    <w:rPr>
      <w:sz w:val="24"/>
      <w:lang w:val="lt-LT"/>
    </w:rPr>
  </w:style>
  <w:style w:type="character" w:customStyle="1" w:styleId="FooterChar">
    <w:name w:val="Footer Char"/>
    <w:link w:val="Footer"/>
    <w:uiPriority w:val="99"/>
    <w:rsid w:val="00EA04F1"/>
    <w:rPr>
      <w:noProof/>
      <w:sz w:val="24"/>
      <w:szCs w:val="24"/>
      <w:lang w:val="en-GB" w:eastAsia="lv-LV"/>
    </w:rPr>
  </w:style>
  <w:style w:type="paragraph" w:styleId="BalloonText">
    <w:name w:val="Balloon Text"/>
    <w:basedOn w:val="Normal"/>
    <w:link w:val="BalloonTextChar"/>
    <w:rsid w:val="00EA04F1"/>
    <w:rPr>
      <w:rFonts w:ascii="Tahoma" w:hAnsi="Tahoma" w:cs="Tahoma"/>
      <w:sz w:val="16"/>
      <w:szCs w:val="16"/>
    </w:rPr>
  </w:style>
  <w:style w:type="character" w:customStyle="1" w:styleId="BalloonTextChar">
    <w:name w:val="Balloon Text Char"/>
    <w:link w:val="BalloonText"/>
    <w:rsid w:val="00EA04F1"/>
    <w:rPr>
      <w:rFonts w:ascii="Tahoma" w:hAnsi="Tahoma" w:cs="Tahoma"/>
      <w:noProof/>
      <w:sz w:val="16"/>
      <w:szCs w:val="16"/>
      <w:lang w:val="en-GB" w:eastAsia="lv-LV"/>
    </w:rPr>
  </w:style>
  <w:style w:type="paragraph" w:styleId="CommentText">
    <w:name w:val="annotation text"/>
    <w:basedOn w:val="Normal"/>
    <w:link w:val="CommentTextChar"/>
    <w:semiHidden/>
    <w:unhideWhenUsed/>
    <w:rsid w:val="006D073B"/>
    <w:rPr>
      <w:sz w:val="20"/>
      <w:szCs w:val="20"/>
    </w:rPr>
  </w:style>
  <w:style w:type="character" w:customStyle="1" w:styleId="CommentTextChar">
    <w:name w:val="Comment Text Char"/>
    <w:link w:val="CommentText"/>
    <w:semiHidden/>
    <w:rsid w:val="006D073B"/>
    <w:rPr>
      <w:noProof/>
      <w:lang w:val="en-GB" w:eastAsia="lv-LV"/>
    </w:rPr>
  </w:style>
  <w:style w:type="paragraph" w:styleId="CommentSubject">
    <w:name w:val="annotation subject"/>
    <w:basedOn w:val="CommentText"/>
    <w:next w:val="CommentText"/>
    <w:link w:val="CommentSubjectChar"/>
    <w:uiPriority w:val="99"/>
    <w:semiHidden/>
    <w:unhideWhenUsed/>
    <w:rsid w:val="006D073B"/>
    <w:pPr>
      <w:spacing w:after="160" w:line="259"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6D073B"/>
    <w:rPr>
      <w:rFonts w:ascii="Calibri" w:eastAsia="Calibri" w:hAnsi="Calibri"/>
      <w:b/>
      <w:bCs/>
      <w:noProof/>
      <w:lang w:val="lv-LV" w:eastAsia="lv-LV"/>
    </w:rPr>
  </w:style>
  <w:style w:type="paragraph" w:styleId="ListParagraph">
    <w:name w:val="List Paragraph"/>
    <w:basedOn w:val="Normal"/>
    <w:uiPriority w:val="34"/>
    <w:qFormat/>
    <w:rsid w:val="00E93C2A"/>
    <w:pPr>
      <w:ind w:left="720"/>
      <w:contextualSpacing/>
    </w:pPr>
    <w:rPr>
      <w:rFonts w:ascii="Calibri" w:eastAsia="Calibri" w:hAnsi="Calibri"/>
      <w:lang w:eastAsia="en-US"/>
    </w:rPr>
  </w:style>
  <w:style w:type="character" w:customStyle="1" w:styleId="Heading1Char">
    <w:name w:val="Heading 1 Char"/>
    <w:link w:val="Heading1"/>
    <w:rsid w:val="00447A3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447A3E"/>
  </w:style>
  <w:style w:type="paragraph" w:styleId="PlainText">
    <w:name w:val="Plain Text"/>
    <w:basedOn w:val="Normal"/>
    <w:link w:val="PlainTextChar"/>
    <w:uiPriority w:val="99"/>
    <w:semiHidden/>
    <w:unhideWhenUsed/>
    <w:rsid w:val="00D505D0"/>
    <w:rPr>
      <w:rFonts w:ascii="Calibri" w:eastAsia="Calibri" w:hAnsi="Calibri"/>
      <w:sz w:val="22"/>
      <w:szCs w:val="21"/>
      <w:lang w:eastAsia="en-US"/>
    </w:rPr>
  </w:style>
  <w:style w:type="character" w:customStyle="1" w:styleId="PlainTextChar">
    <w:name w:val="Plain Text Char"/>
    <w:link w:val="PlainText"/>
    <w:uiPriority w:val="99"/>
    <w:semiHidden/>
    <w:rsid w:val="00D505D0"/>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330">
      <w:bodyDiv w:val="1"/>
      <w:marLeft w:val="0"/>
      <w:marRight w:val="0"/>
      <w:marTop w:val="0"/>
      <w:marBottom w:val="0"/>
      <w:divBdr>
        <w:top w:val="none" w:sz="0" w:space="0" w:color="auto"/>
        <w:left w:val="none" w:sz="0" w:space="0" w:color="auto"/>
        <w:bottom w:val="none" w:sz="0" w:space="0" w:color="auto"/>
        <w:right w:val="none" w:sz="0" w:space="0" w:color="auto"/>
      </w:divBdr>
    </w:div>
    <w:div w:id="271938630">
      <w:bodyDiv w:val="1"/>
      <w:marLeft w:val="0"/>
      <w:marRight w:val="0"/>
      <w:marTop w:val="0"/>
      <w:marBottom w:val="0"/>
      <w:divBdr>
        <w:top w:val="none" w:sz="0" w:space="0" w:color="auto"/>
        <w:left w:val="none" w:sz="0" w:space="0" w:color="auto"/>
        <w:bottom w:val="none" w:sz="0" w:space="0" w:color="auto"/>
        <w:right w:val="none" w:sz="0" w:space="0" w:color="auto"/>
      </w:divBdr>
    </w:div>
    <w:div w:id="522550206">
      <w:bodyDiv w:val="1"/>
      <w:marLeft w:val="0"/>
      <w:marRight w:val="0"/>
      <w:marTop w:val="0"/>
      <w:marBottom w:val="0"/>
      <w:divBdr>
        <w:top w:val="none" w:sz="0" w:space="0" w:color="auto"/>
        <w:left w:val="none" w:sz="0" w:space="0" w:color="auto"/>
        <w:bottom w:val="none" w:sz="0" w:space="0" w:color="auto"/>
        <w:right w:val="none" w:sz="0" w:space="0" w:color="auto"/>
      </w:divBdr>
    </w:div>
    <w:div w:id="539704423">
      <w:bodyDiv w:val="1"/>
      <w:marLeft w:val="0"/>
      <w:marRight w:val="0"/>
      <w:marTop w:val="0"/>
      <w:marBottom w:val="0"/>
      <w:divBdr>
        <w:top w:val="none" w:sz="0" w:space="0" w:color="auto"/>
        <w:left w:val="none" w:sz="0" w:space="0" w:color="auto"/>
        <w:bottom w:val="none" w:sz="0" w:space="0" w:color="auto"/>
        <w:right w:val="none" w:sz="0" w:space="0" w:color="auto"/>
      </w:divBdr>
    </w:div>
    <w:div w:id="610823923">
      <w:bodyDiv w:val="1"/>
      <w:marLeft w:val="0"/>
      <w:marRight w:val="0"/>
      <w:marTop w:val="0"/>
      <w:marBottom w:val="0"/>
      <w:divBdr>
        <w:top w:val="none" w:sz="0" w:space="0" w:color="auto"/>
        <w:left w:val="none" w:sz="0" w:space="0" w:color="auto"/>
        <w:bottom w:val="none" w:sz="0" w:space="0" w:color="auto"/>
        <w:right w:val="none" w:sz="0" w:space="0" w:color="auto"/>
      </w:divBdr>
    </w:div>
    <w:div w:id="894463834">
      <w:bodyDiv w:val="1"/>
      <w:marLeft w:val="0"/>
      <w:marRight w:val="0"/>
      <w:marTop w:val="0"/>
      <w:marBottom w:val="0"/>
      <w:divBdr>
        <w:top w:val="none" w:sz="0" w:space="0" w:color="auto"/>
        <w:left w:val="none" w:sz="0" w:space="0" w:color="auto"/>
        <w:bottom w:val="none" w:sz="0" w:space="0" w:color="auto"/>
        <w:right w:val="none" w:sz="0" w:space="0" w:color="auto"/>
      </w:divBdr>
    </w:div>
    <w:div w:id="1137643199">
      <w:bodyDiv w:val="1"/>
      <w:marLeft w:val="0"/>
      <w:marRight w:val="0"/>
      <w:marTop w:val="0"/>
      <w:marBottom w:val="0"/>
      <w:divBdr>
        <w:top w:val="none" w:sz="0" w:space="0" w:color="auto"/>
        <w:left w:val="none" w:sz="0" w:space="0" w:color="auto"/>
        <w:bottom w:val="none" w:sz="0" w:space="0" w:color="auto"/>
        <w:right w:val="none" w:sz="0" w:space="0" w:color="auto"/>
      </w:divBdr>
    </w:div>
    <w:div w:id="1590188857">
      <w:bodyDiv w:val="1"/>
      <w:marLeft w:val="0"/>
      <w:marRight w:val="0"/>
      <w:marTop w:val="0"/>
      <w:marBottom w:val="0"/>
      <w:divBdr>
        <w:top w:val="none" w:sz="0" w:space="0" w:color="auto"/>
        <w:left w:val="none" w:sz="0" w:space="0" w:color="auto"/>
        <w:bottom w:val="none" w:sz="0" w:space="0" w:color="auto"/>
        <w:right w:val="none" w:sz="0" w:space="0" w:color="auto"/>
      </w:divBdr>
    </w:div>
    <w:div w:id="1758089223">
      <w:bodyDiv w:val="1"/>
      <w:marLeft w:val="0"/>
      <w:marRight w:val="0"/>
      <w:marTop w:val="0"/>
      <w:marBottom w:val="0"/>
      <w:divBdr>
        <w:top w:val="none" w:sz="0" w:space="0" w:color="auto"/>
        <w:left w:val="none" w:sz="0" w:space="0" w:color="auto"/>
        <w:bottom w:val="none" w:sz="0" w:space="0" w:color="auto"/>
        <w:right w:val="none" w:sz="0" w:space="0" w:color="auto"/>
      </w:divBdr>
    </w:div>
    <w:div w:id="1767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4063</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Pirmkārt LV viedoklis jau pašā sākumā bija, ka nedrīkst pielietot kompensāciju saņemšanai rindas kārtību, bet jābūt katrai DV pieejamai savai paketei - valstis var cīnīties par pieteikumiem valsts robežās, nevis uz tik mazu summu kā 125 miljoni visas ES</vt:lpstr>
    </vt:vector>
  </TitlesOfParts>
  <Company>LLKC</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Pirmkārt LV viedoklis jau pašā sākumā bija, ka nedrīkst pielietot kompensāciju saņemšanai rindas kārtību, bet jābūt katrai DV pieejamai savai paketei - valstis var cīnīties par pieteikumiem valsts robežās, nevis uz tik mazu summu kā 125 miljoni visas ES</dc:title>
  <dc:creator>User</dc:creator>
  <cp:lastModifiedBy>User</cp:lastModifiedBy>
  <cp:revision>2</cp:revision>
  <cp:lastPrinted>2019-10-31T09:44:00Z</cp:lastPrinted>
  <dcterms:created xsi:type="dcterms:W3CDTF">2020-02-12T10:31:00Z</dcterms:created>
  <dcterms:modified xsi:type="dcterms:W3CDTF">2020-02-12T10:31:00Z</dcterms:modified>
</cp:coreProperties>
</file>